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2867A2" w14:textId="77777777" w:rsidR="006405D6" w:rsidRDefault="00C520CD" w:rsidP="000904F6">
      <w:pPr>
        <w:pStyle w:val="Normal1"/>
        <w:jc w:val="center"/>
      </w:pPr>
      <w:r>
        <w:rPr>
          <w:i/>
        </w:rPr>
        <w:t>General Oversight Plan Components</w:t>
      </w:r>
    </w:p>
    <w:p w14:paraId="3D1C65B4" w14:textId="77777777" w:rsidR="006405D6" w:rsidRDefault="00C520CD">
      <w:pPr>
        <w:pStyle w:val="Normal1"/>
        <w:jc w:val="center"/>
      </w:pPr>
      <w:r>
        <w:rPr>
          <w:i/>
        </w:rPr>
        <w:t>HOPWA Grantee Oversight Resource Guide, pages 22-33</w:t>
      </w:r>
    </w:p>
    <w:p w14:paraId="720CD43F" w14:textId="378EDA50" w:rsidR="00EB259C" w:rsidRDefault="00C520CD" w:rsidP="00F86E37">
      <w:pPr>
        <w:pStyle w:val="Normal1"/>
        <w:spacing w:before="200" w:after="200"/>
      </w:pPr>
      <w:r>
        <w:rPr>
          <w:b/>
        </w:rPr>
        <w:t xml:space="preserve">Roles </w:t>
      </w:r>
      <w:r w:rsidR="00EB259C">
        <w:rPr>
          <w:b/>
        </w:rPr>
        <w:t>and</w:t>
      </w:r>
      <w:r>
        <w:rPr>
          <w:b/>
        </w:rPr>
        <w:t xml:space="preserve"> Responsibilities </w:t>
      </w:r>
    </w:p>
    <w:p w14:paraId="08DE4C1F" w14:textId="7E5A0779" w:rsidR="00C25A28" w:rsidRDefault="0077325A" w:rsidP="00F86E37">
      <w:pPr>
        <w:pStyle w:val="Normal1"/>
        <w:spacing w:before="200"/>
      </w:pPr>
      <w:r>
        <w:rPr>
          <w:noProof/>
        </w:rPr>
        <mc:AlternateContent>
          <mc:Choice Requires="wps">
            <w:drawing>
              <wp:inline distT="0" distB="0" distL="0" distR="0" wp14:anchorId="4DF190B4" wp14:editId="1880DF51">
                <wp:extent cx="5914390" cy="666115"/>
                <wp:effectExtent l="50800" t="25400" r="80010" b="9588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6661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D3FFA" w14:textId="24C2B523" w:rsidR="00FB3A72" w:rsidRDefault="00FB3A72">
                            <w:r>
                              <w:rPr>
                                <w:i/>
                              </w:rPr>
                              <w:t>One of the first steps in developing an Oversight Plan is designating responsible parties at the grantee and sponsor level, and establishing communication channels for the flow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465.7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Zofb4CAADYBQAADgAAAGRycy9lMm9Eb2MueG1srFRtb9MwEP6OxH+w/L1LUtpujZZOWacipGmb&#10;6NA+u47dRvgN221SEP+ds5N2ZcCEEF8S++65891zL5dXrRRox6yrtSpwdpZixBTVVa3WBf70uBhc&#10;YOQ8URURWrEC75nDV7O3by4bk7Oh3mhRMYvAiXJ5Ywq88d7kSeLohknizrRhCpRcW0k8XO06qSxp&#10;wLsUyTBNJ0mjbWWspsw5kN50SjyL/jln1N9z7phHosAQm49fG7+r8E1mlyRfW2I2Ne3DIP8QhSS1&#10;gkePrm6IJ2hr619cyZpa7TT3Z1TLRHNeUxZzgGyy9EU2yw0xLOYC5DhzpMn9P7f0bvdgUV0VeIyR&#10;IhJK9Mhaj651i8aBnca4HEBLAzDfghiqfJA7EIakW25l+EM6CPTA8/7IbXBGQTieZqN3U1BR0E0m&#10;kyyL7pNna2Odf8+0ROFQYAu1i5SS3a3zEAlAD5DwmFCxduAf1EEQXoqUf5uPz4fl+Xg6mJTjbDDK&#10;0otBWabDwc2iTMt0tJhPR9ffwbck2ShvoPgGWiekDektBFn3RAf13zEtCf2pL7MsiR3RRQ2OY/SH&#10;UJPAacddPPm9YF1GHxmHWkSKgyBOAZsLi3YE+rf6HJkHHoQCZEDwWoij0TDS9UejHhupipNxNMxe&#10;N2QHdHxRK380lLXS9nVj3uGBgJNcw9G3q7bvr5Wu9tBeVnfj6Qxd1NADt8T5B2JhHqFtYMf4e/hw&#10;oZsC6/6E0Ubbr7+TBzwUD7QYhRIX2H3ZEsswEh8UDBC04ygshHgZQcPAxZ5qVqcatZVzDSXIYJsZ&#10;Go8B78XhyK2WT7CKyvAqqIii8HaB/eE4993WgVVGWVlGEKwAQ/ytWhoaXAd6Q4c/tk/Emn4MPHTN&#10;nT5sApK/mIYOGyyVLrde8zqOSiC4Y7UnHtZH7MF+1YX9dHqPqOeFPPsBAAD//wMAUEsDBBQABgAI&#10;AAAAIQDkNGQ13AAAAAUBAAAPAAAAZHJzL2Rvd25yZXYueG1sTI/BTsMwEETvSP0Ha5F6o07aCtEQ&#10;p4qK6IUDosCBmxsviYu9jmK3DX/PlgtcVlrNaOZNuR69Eyccog2kIJ9lIJCaYCy1Ct5eH2/uQMSk&#10;yWgXCBV8Y4R1NbkqdWHCmV7wtEut4BCKhVbQpdQXUsamQ6/jLPRIrH2GwevE79BKM+gzh3sn51l2&#10;K722xA2d7nHTYfO1O/pLb//cHmqb2+324cM/+fd5fXBKTa/H+h5EwjH9meGCz+hQMdM+HMlE4RTw&#10;kPR7WVst8iWIPZuy5QpkVcr/9NUPAAAA//8DAFBLAQItABQABgAIAAAAIQDkmcPA+wAAAOEBAAAT&#10;AAAAAAAAAAAAAAAAAAAAAABbQ29udGVudF9UeXBlc10ueG1sUEsBAi0AFAAGAAgAAAAhACOyauHX&#10;AAAAlAEAAAsAAAAAAAAAAAAAAAAALAEAAF9yZWxzLy5yZWxzUEsBAi0AFAAGAAgAAAAhAKsWaH2+&#10;AgAA2AUAAA4AAAAAAAAAAAAAAAAALAIAAGRycy9lMm9Eb2MueG1sUEsBAi0AFAAGAAgAAAAhAOQ0&#10;ZDXcAAAABQEAAA8AAAAAAAAAAAAAAAAAFgUAAGRycy9kb3ducmV2LnhtbFBLBQYAAAAABAAEAPMA&#10;AAAf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667D3FFA" w14:textId="24C2B523" w:rsidR="00FB3A72" w:rsidRDefault="00FB3A72">
                      <w:r>
                        <w:rPr>
                          <w:i/>
                        </w:rPr>
                        <w:t>One of the first steps in developing an Oversight Plan is designating responsible parties at the grantee and sponsor level, and establishing communication channels for the flow of 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520CD">
        <w:rPr>
          <w:u w:val="single"/>
        </w:rPr>
        <w:t>Grantee</w:t>
      </w:r>
      <w:r w:rsidR="00A94F77">
        <w:t xml:space="preserve"> </w:t>
      </w:r>
    </w:p>
    <w:p w14:paraId="31F8EE39" w14:textId="1DED0ED6" w:rsidR="006405D6" w:rsidRDefault="00C25A28" w:rsidP="000904F6">
      <w:pPr>
        <w:pStyle w:val="Normal1"/>
        <w:numPr>
          <w:ilvl w:val="0"/>
          <w:numId w:val="13"/>
        </w:numPr>
      </w:pPr>
      <w:r>
        <w:t>D</w:t>
      </w:r>
      <w:r w:rsidR="00C520CD">
        <w:t>esignate responsible parties for:</w:t>
      </w:r>
    </w:p>
    <w:p w14:paraId="35D7C9EA" w14:textId="77777777" w:rsidR="006405D6" w:rsidRDefault="00C520CD">
      <w:pPr>
        <w:pStyle w:val="Normal1"/>
        <w:numPr>
          <w:ilvl w:val="0"/>
          <w:numId w:val="9"/>
        </w:numPr>
        <w:ind w:hanging="360"/>
        <w:contextualSpacing/>
      </w:pPr>
      <w:r>
        <w:t>Processing billing</w:t>
      </w:r>
    </w:p>
    <w:p w14:paraId="3269DB3E" w14:textId="77777777" w:rsidR="006405D6" w:rsidRDefault="00C520CD">
      <w:pPr>
        <w:pStyle w:val="Normal1"/>
        <w:numPr>
          <w:ilvl w:val="0"/>
          <w:numId w:val="9"/>
        </w:numPr>
        <w:ind w:hanging="360"/>
        <w:contextualSpacing/>
      </w:pPr>
      <w:r>
        <w:t>Approving billing</w:t>
      </w:r>
    </w:p>
    <w:p w14:paraId="220CAD12" w14:textId="77777777" w:rsidR="006405D6" w:rsidRDefault="00C520CD">
      <w:pPr>
        <w:pStyle w:val="Normal1"/>
        <w:numPr>
          <w:ilvl w:val="0"/>
          <w:numId w:val="9"/>
        </w:numPr>
        <w:ind w:hanging="360"/>
        <w:contextualSpacing/>
      </w:pPr>
      <w:r>
        <w:t>Reviewing performance reports</w:t>
      </w:r>
    </w:p>
    <w:p w14:paraId="5B585352" w14:textId="77777777" w:rsidR="006405D6" w:rsidRDefault="00C520CD">
      <w:pPr>
        <w:pStyle w:val="Normal1"/>
        <w:numPr>
          <w:ilvl w:val="0"/>
          <w:numId w:val="9"/>
        </w:numPr>
        <w:ind w:hanging="360"/>
        <w:contextualSpacing/>
      </w:pPr>
      <w:r>
        <w:t>General sponsor oversight/coordination</w:t>
      </w:r>
    </w:p>
    <w:p w14:paraId="092A1363" w14:textId="5EDDBA0C" w:rsidR="006405D6" w:rsidRDefault="00C520CD" w:rsidP="00F86E37">
      <w:pPr>
        <w:pStyle w:val="Normal1"/>
        <w:numPr>
          <w:ilvl w:val="0"/>
          <w:numId w:val="9"/>
        </w:numPr>
        <w:ind w:hanging="360"/>
        <w:contextualSpacing/>
      </w:pPr>
      <w:r>
        <w:t>Remote and on-site monitoring</w:t>
      </w:r>
    </w:p>
    <w:p w14:paraId="4FCC7F2D" w14:textId="77777777" w:rsidR="00532965" w:rsidRDefault="00C520CD" w:rsidP="00F86E37">
      <w:pPr>
        <w:pStyle w:val="Normal1"/>
        <w:spacing w:before="200"/>
      </w:pPr>
      <w:r>
        <w:rPr>
          <w:u w:val="single"/>
        </w:rPr>
        <w:t>Sponsor</w:t>
      </w:r>
      <w:r>
        <w:t xml:space="preserve"> </w:t>
      </w:r>
    </w:p>
    <w:p w14:paraId="2E367DA1" w14:textId="22951838" w:rsidR="006405D6" w:rsidRDefault="00532965" w:rsidP="000904F6">
      <w:pPr>
        <w:pStyle w:val="Normal1"/>
        <w:numPr>
          <w:ilvl w:val="0"/>
          <w:numId w:val="13"/>
        </w:numPr>
      </w:pPr>
      <w:r>
        <w:t>Ascertain information on the parties responsible for</w:t>
      </w:r>
      <w:r w:rsidR="00C520CD">
        <w:t>:</w:t>
      </w:r>
    </w:p>
    <w:p w14:paraId="7B7E59F5" w14:textId="77777777" w:rsidR="006405D6" w:rsidRDefault="00C520CD">
      <w:pPr>
        <w:pStyle w:val="Normal1"/>
        <w:numPr>
          <w:ilvl w:val="0"/>
          <w:numId w:val="8"/>
        </w:numPr>
        <w:ind w:hanging="360"/>
        <w:contextualSpacing/>
      </w:pPr>
      <w:r>
        <w:t>Gathering project data and documentation</w:t>
      </w:r>
    </w:p>
    <w:p w14:paraId="394E0F5B" w14:textId="77777777" w:rsidR="006405D6" w:rsidRDefault="00C520CD">
      <w:pPr>
        <w:pStyle w:val="Normal1"/>
        <w:numPr>
          <w:ilvl w:val="0"/>
          <w:numId w:val="8"/>
        </w:numPr>
        <w:ind w:hanging="360"/>
        <w:contextualSpacing/>
      </w:pPr>
      <w:r>
        <w:t>Maintaining project data and documentation</w:t>
      </w:r>
    </w:p>
    <w:p w14:paraId="02AFD993" w14:textId="77777777" w:rsidR="006405D6" w:rsidRDefault="00C520CD">
      <w:pPr>
        <w:pStyle w:val="Normal1"/>
        <w:numPr>
          <w:ilvl w:val="0"/>
          <w:numId w:val="8"/>
        </w:numPr>
        <w:ind w:hanging="360"/>
        <w:contextualSpacing/>
      </w:pPr>
      <w:r>
        <w:t>Sharing project data and documentation</w:t>
      </w:r>
    </w:p>
    <w:p w14:paraId="72B7730B" w14:textId="7B373965" w:rsidR="006405D6" w:rsidRDefault="00C520CD" w:rsidP="00F86E37">
      <w:pPr>
        <w:pStyle w:val="Normal1"/>
        <w:numPr>
          <w:ilvl w:val="0"/>
          <w:numId w:val="8"/>
        </w:numPr>
        <w:ind w:hanging="360"/>
        <w:contextualSpacing/>
      </w:pPr>
      <w:r>
        <w:t>Coordinating HOPWA grant activities (TBRA, STRMU, Supportive Services, etc.)</w:t>
      </w:r>
    </w:p>
    <w:p w14:paraId="66388176" w14:textId="77777777" w:rsidR="00F328B8" w:rsidRDefault="00C520CD" w:rsidP="00F86E37">
      <w:pPr>
        <w:pStyle w:val="Normal1"/>
        <w:spacing w:before="200"/>
      </w:pPr>
      <w:r>
        <w:rPr>
          <w:u w:val="single"/>
        </w:rPr>
        <w:t>General</w:t>
      </w:r>
      <w:r>
        <w:t xml:space="preserve"> </w:t>
      </w:r>
    </w:p>
    <w:p w14:paraId="02C555AD" w14:textId="4CCEE8EC" w:rsidR="006405D6" w:rsidRDefault="00F328B8" w:rsidP="000904F6">
      <w:pPr>
        <w:pStyle w:val="Normal1"/>
        <w:numPr>
          <w:ilvl w:val="0"/>
          <w:numId w:val="13"/>
        </w:numPr>
      </w:pPr>
      <w:r>
        <w:t>R</w:t>
      </w:r>
      <w:r w:rsidR="00C520CD">
        <w:t>eview and clarify with the sponsor any of the following:</w:t>
      </w:r>
    </w:p>
    <w:p w14:paraId="677477E1" w14:textId="77777777" w:rsidR="006405D6" w:rsidRDefault="00C520CD">
      <w:pPr>
        <w:pStyle w:val="Normal1"/>
        <w:numPr>
          <w:ilvl w:val="0"/>
          <w:numId w:val="7"/>
        </w:numPr>
        <w:ind w:hanging="360"/>
        <w:contextualSpacing/>
      </w:pPr>
      <w:r>
        <w:t>Required usage of standardized forms</w:t>
      </w:r>
    </w:p>
    <w:p w14:paraId="7A27EF1E" w14:textId="77777777" w:rsidR="006405D6" w:rsidRDefault="00C520CD">
      <w:pPr>
        <w:pStyle w:val="Normal1"/>
        <w:numPr>
          <w:ilvl w:val="0"/>
          <w:numId w:val="7"/>
        </w:numPr>
        <w:ind w:hanging="360"/>
        <w:contextualSpacing/>
      </w:pPr>
      <w:r>
        <w:t>Due dates for invoices and reporting</w:t>
      </w:r>
    </w:p>
    <w:p w14:paraId="3FC8991F" w14:textId="10A1CC22" w:rsidR="006405D6" w:rsidRDefault="00C520CD" w:rsidP="00F86E37">
      <w:pPr>
        <w:pStyle w:val="Normal1"/>
        <w:numPr>
          <w:ilvl w:val="0"/>
          <w:numId w:val="7"/>
        </w:numPr>
        <w:ind w:hanging="360"/>
        <w:contextualSpacing/>
      </w:pPr>
      <w:r>
        <w:t xml:space="preserve">Creation and approval of applicable policy manuals relevant to HOPWA grant activities </w:t>
      </w:r>
    </w:p>
    <w:p w14:paraId="0DA70425" w14:textId="7D832920" w:rsidR="006405D6" w:rsidRDefault="00C520CD" w:rsidP="00F86E37">
      <w:pPr>
        <w:pStyle w:val="Normal1"/>
        <w:spacing w:before="200" w:after="200"/>
        <w:rPr>
          <w:b/>
        </w:rPr>
      </w:pPr>
      <w:r>
        <w:rPr>
          <w:b/>
        </w:rPr>
        <w:t xml:space="preserve">Risk Analysis </w:t>
      </w:r>
    </w:p>
    <w:p w14:paraId="2D5E723B" w14:textId="28794913" w:rsidR="00112387" w:rsidRDefault="007B5283" w:rsidP="00112387">
      <w:pPr>
        <w:pStyle w:val="Normal1"/>
        <w:spacing w:before="200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4AE03243" wp14:editId="59EB0706">
                <wp:extent cx="5875655" cy="680720"/>
                <wp:effectExtent l="50800" t="25400" r="67945" b="1066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6807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79A2" w14:textId="2776DBD1" w:rsidR="00FB3A72" w:rsidRPr="000904F6" w:rsidRDefault="00FB3A72" w:rsidP="000904F6">
                            <w:pPr>
                              <w:rPr>
                                <w:i/>
                              </w:rPr>
                            </w:pPr>
                            <w:r w:rsidRPr="000904F6">
                              <w:rPr>
                                <w:i/>
                              </w:rPr>
                              <w:t>A risk analysis provides a structured process of identifying areas of potential risk that a sponsor might have in managing their project. Conducting a risk analysis can assist the grantee to develop a reasonable schedule for where and when to conduct a site visit.</w:t>
                            </w:r>
                          </w:p>
                          <w:p w14:paraId="1D16E48A" w14:textId="77777777" w:rsidR="00FB3A72" w:rsidRDefault="00FB3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width:462.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fuisECAADfBQAADgAAAGRycy9lMm9Eb2MueG1srFRtb9owEP4+af/B8neaBBGgqKFKqZgmVW21&#10;dupn49gQzW+zDQmb+t93dgJl3VZN074k9t1zd77nXi4uWynQjllXa1Xg7CzFiCmqq1qtC/z5cTmY&#10;YuQ8URURWrEC75nDl/P37y4aM2NDvdGiYhaBE+VmjSnwxnszSxJHN0wSd6YNU6Dk2kri4WrXSWVJ&#10;A96lSIZpOk4abStjNWXOgfS6U+J59M85o/6Oc8c8EgWGt/n4tfG7Ct9kfkFma0vMpqb9M8g/vEKS&#10;WkHQo6tr4gna2voXV7KmVjvN/RnVMtGc15TFHCCbLH2VzcOGGBZzAXKcOdLk/p9beru7t6iuoHYY&#10;KSKhRI+s9ehKtygL7DTGzQD0YADmWxAHZC93IAxJt9zK8Id0EOiB5/2R2+CMgjCfTvJxnmNEQTee&#10;ppNhJD95sTbW+Q9MSxQOBbZQu0gp2d04DxEBeoCEYELF2oF/UAdBiBQp/77IJ8Nykp8PxmWeDUZZ&#10;Oh2UZTocXC/LtExHy8X56OoZfEuSjWYNFN9A64S0Ib2lIOue6KD+O6YloT/1ZZYlsSO6V4Pj+PrD&#10;U5PAacddPPm9YF1GnxiHWkSKgyBOAVsIi3YE+rf6EpkHHoQCZEDwWoij0TDS9UejHhupipNxNMze&#10;NmQHdIyolT8aylpp+7Yx7/BAwEmu4ejbVds3Xt9OK13tocus7qbUGbqsoRVuiPP3xMJYQmPBqvF3&#10;8OFCNwXW/QmjjbbfficPeKghaDEKlS6w+7ollmEkPiqYo/NsNAp7IV5G0Ddwsaea1alGbeVCQyVg&#10;VuB18RjwXhyO3Gr5BBupDFFBRRSF2AX2h+PCd8sHNhplZRlBsAkM8TfqwdDgOrAcGv2xfSLW9NPg&#10;oXlu9WEhkNmroeiwwVLpcus1r+PEBJ47Vnv+YYvEVuw3XlhTp/eIetnL8x8AAAD//wMAUEsDBBQA&#10;BgAIAAAAIQCIkD1f3AAAAAUBAAAPAAAAZHJzL2Rvd25yZXYueG1sTI/NTsMwEITvSLyDtUjcqNMg&#10;/kKcKiqilx5QCxy4ufGSuLXXUey24e275QKXlVYzmvmmnI3eiQMO0QZSMJ1kIJCaYCy1Cj7eX28e&#10;QcSkyWgXCBX8YIRZdXlR6sKEI63wsE6t4BCKhVbQpdQXUsamQ6/jJPRIrH2HwevE79BKM+gjh3sn&#10;8yy7l15b4oZO9zjvsNmt9/7c27+129pO7WLx8uWX/jOvt06p66uxfgaRcEx/ZjjjMzpUzLQJezJR&#10;OAU8JP1e1p7yu1sQGzZlDznIqpT/6asTAAAA//8DAFBLAQItABQABgAIAAAAIQDkmcPA+wAAAOEB&#10;AAATAAAAAAAAAAAAAAAAAAAAAABbQ29udGVudF9UeXBlc10ueG1sUEsBAi0AFAAGAAgAAAAhACOy&#10;auHXAAAAlAEAAAsAAAAAAAAAAAAAAAAALAEAAF9yZWxzLy5yZWxzUEsBAi0AFAAGAAgAAAAhAAy3&#10;7orBAgAA3wUAAA4AAAAAAAAAAAAAAAAALAIAAGRycy9lMm9Eb2MueG1sUEsBAi0AFAAGAAgAAAAh&#10;AIiQPV/cAAAABQEAAA8AAAAAAAAAAAAAAAAAGQUAAGRycy9kb3ducmV2LnhtbFBLBQYAAAAABAAE&#10;APMAAAAi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121079A2" w14:textId="2776DBD1" w:rsidR="00FB3A72" w:rsidRPr="000904F6" w:rsidRDefault="00FB3A72" w:rsidP="000904F6">
                      <w:pPr>
                        <w:rPr>
                          <w:i/>
                        </w:rPr>
                      </w:pPr>
                      <w:r w:rsidRPr="000904F6">
                        <w:rPr>
                          <w:i/>
                        </w:rPr>
                        <w:t>A risk analysis provides a structured process of identifying areas of potential risk that a sponsor might have in managing their project. Conducting a risk analysis can assist the grantee to develop a reasonable schedule for where and when to conduct a site visit.</w:t>
                      </w:r>
                    </w:p>
                    <w:p w14:paraId="1D16E48A" w14:textId="77777777" w:rsidR="00FB3A72" w:rsidRDefault="00FB3A72"/>
                  </w:txbxContent>
                </v:textbox>
                <w10:anchorlock/>
              </v:shape>
            </w:pict>
          </mc:Fallback>
        </mc:AlternateContent>
      </w:r>
    </w:p>
    <w:p w14:paraId="7B3EFC53" w14:textId="0D165865" w:rsidR="006405D6" w:rsidRDefault="00C520CD" w:rsidP="00112387">
      <w:pPr>
        <w:pStyle w:val="Normal1"/>
        <w:numPr>
          <w:ilvl w:val="0"/>
          <w:numId w:val="15"/>
        </w:numPr>
        <w:spacing w:before="200"/>
        <w:contextualSpacing/>
      </w:pPr>
      <w:r>
        <w:t>Develop a process and procedure for conducting sponsor risk analyses using regular review of invoices, accompanying documentation</w:t>
      </w:r>
      <w:r w:rsidR="000275AD">
        <w:t>,</w:t>
      </w:r>
      <w:r>
        <w:t xml:space="preserve"> and reports.</w:t>
      </w:r>
    </w:p>
    <w:p w14:paraId="3A62FE01" w14:textId="77777777" w:rsidR="006405D6" w:rsidRDefault="00C520CD">
      <w:pPr>
        <w:pStyle w:val="Normal1"/>
        <w:numPr>
          <w:ilvl w:val="1"/>
          <w:numId w:val="4"/>
        </w:numPr>
        <w:ind w:hanging="360"/>
        <w:contextualSpacing/>
      </w:pPr>
      <w:r>
        <w:t>Risk factors may include:</w:t>
      </w:r>
    </w:p>
    <w:p w14:paraId="02B73DF7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Late or poorly documented billing</w:t>
      </w:r>
    </w:p>
    <w:p w14:paraId="4AD0D8CA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Project complexity</w:t>
      </w:r>
    </w:p>
    <w:p w14:paraId="49198FBB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Sponsor taking on new activities</w:t>
      </w:r>
    </w:p>
    <w:p w14:paraId="74ABDB50" w14:textId="75B36E2E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 xml:space="preserve">Prior monitoring history </w:t>
      </w:r>
      <w:r w:rsidR="000275AD">
        <w:t>and</w:t>
      </w:r>
      <w:r>
        <w:t xml:space="preserve"> results</w:t>
      </w:r>
    </w:p>
    <w:p w14:paraId="000978DD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High vacancy rates</w:t>
      </w:r>
    </w:p>
    <w:p w14:paraId="066E5FE0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Achieving benchmarks/goals</w:t>
      </w:r>
    </w:p>
    <w:p w14:paraId="5360C095" w14:textId="7F96DFEE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 xml:space="preserve">Timely reporting (reviewing for accuracy </w:t>
      </w:r>
      <w:r w:rsidR="000275AD">
        <w:t>and</w:t>
      </w:r>
      <w:r>
        <w:t xml:space="preserve"> completeness)</w:t>
      </w:r>
    </w:p>
    <w:p w14:paraId="41C90211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Sponsor recently losing key staff</w:t>
      </w:r>
    </w:p>
    <w:p w14:paraId="57612A0E" w14:textId="77777777" w:rsidR="006405D6" w:rsidRDefault="00C520CD">
      <w:pPr>
        <w:pStyle w:val="Normal1"/>
        <w:numPr>
          <w:ilvl w:val="2"/>
          <w:numId w:val="4"/>
        </w:numPr>
        <w:ind w:hanging="360"/>
        <w:contextualSpacing/>
      </w:pPr>
      <w:r>
        <w:t>Sponsor spending at a slower or faster rate than anticipated</w:t>
      </w:r>
    </w:p>
    <w:p w14:paraId="5591115D" w14:textId="2A20F252" w:rsidR="006405D6" w:rsidRDefault="00C520CD" w:rsidP="00F86E37">
      <w:pPr>
        <w:pStyle w:val="Normal1"/>
        <w:numPr>
          <w:ilvl w:val="0"/>
          <w:numId w:val="4"/>
        </w:numPr>
        <w:ind w:hanging="360"/>
        <w:contextualSpacing/>
      </w:pPr>
      <w:r>
        <w:t>Provide the sponsor with all applicable policies and a copy of the risk analysis tool</w:t>
      </w:r>
      <w:r w:rsidR="000275AD">
        <w:t>.</w:t>
      </w:r>
    </w:p>
    <w:p w14:paraId="42088E2C" w14:textId="1E7FFF06" w:rsidR="006405D6" w:rsidRDefault="00C520CD" w:rsidP="00F86E37">
      <w:pPr>
        <w:pStyle w:val="Normal1"/>
        <w:spacing w:before="200" w:after="400"/>
      </w:pPr>
      <w:r>
        <w:rPr>
          <w:b/>
        </w:rPr>
        <w:lastRenderedPageBreak/>
        <w:t>Off-</w:t>
      </w:r>
      <w:r w:rsidR="001020A3">
        <w:rPr>
          <w:b/>
        </w:rPr>
        <w:t>S</w:t>
      </w:r>
      <w:r>
        <w:rPr>
          <w:b/>
        </w:rPr>
        <w:t>ite Monitoring</w:t>
      </w:r>
      <w:r w:rsidR="00874D02" w:rsidRPr="00874D02">
        <w:rPr>
          <w:b/>
          <w:noProof/>
        </w:rPr>
        <mc:AlternateContent>
          <mc:Choice Requires="wps">
            <w:drawing>
              <wp:inline distT="0" distB="0" distL="0" distR="0" wp14:anchorId="790CEEA5" wp14:editId="002C285B">
                <wp:extent cx="5671185" cy="690880"/>
                <wp:effectExtent l="50800" t="25400" r="69215" b="9652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6908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83A03" w14:textId="77777777" w:rsidR="00874D02" w:rsidRPr="000904F6" w:rsidRDefault="00874D02" w:rsidP="00874D02">
                            <w:pPr>
                              <w:rPr>
                                <w:i/>
                              </w:rPr>
                            </w:pPr>
                            <w:r w:rsidRPr="000904F6">
                              <w:rPr>
                                <w:i/>
                              </w:rPr>
                              <w:t>Ongoing review of project activity and information provides the foundation of all sponsor oversight. Many oversight objectives can be addressed remotely as a regular part of the grantee’s working relationship with the sponsor.</w:t>
                            </w:r>
                          </w:p>
                          <w:p w14:paraId="3B565FAE" w14:textId="77777777" w:rsidR="00874D02" w:rsidRDefault="00874D02" w:rsidP="00874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Text Box 2" o:spid="_x0000_s1028" type="#_x0000_t202" style="width:446.55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gVM8ICAADfBQAADgAAAGRycy9lMm9Eb2MueG1srFTbbtswDH0fsH8Q9J76AidNgjqFmyLDgKIt&#10;1g59VmQpMabbJCVxNvTfR8lOmnVbMQx7sSXykCIPLxeXrRRoy6xrtCpxdpZixBTVdaNWJf78uBiM&#10;MXKeqJoIrViJ98zhy9n7dxc7M2W5XmtRM4vAiXLTnSnx2nszTRJH10wSd6YNU6Dk2kri4WpXSW3J&#10;DrxLkeRpOkp22tbGasqcA+l1p8Sz6J9zRv0d5455JEoMsfn4tfG7DN9kdkGmK0vMuqF9GOQfopCk&#10;UfDo0dU18QRtbPOLK9lQq53m/oxqmWjOG8piDpBNlr7K5mFNDIu5ADnOHGly/88tvd3eW9TUJc4x&#10;UkRCiR5Z69GVblEe2NkZNwXQgwGYb0EMVT7IHQhD0i23MvwhHQR64Hl/5DY4oyAcjs6zbDzEiIJu&#10;NEnH40h+8mJtrPMfmJYoHEpsoXaRUrK9cR4iAegBEh4TKtYO/IM6CMJLkfLv8+F5Xp0PJ4NRNcwG&#10;RZaOB1WV5oPrRZVWabGYT4qrZ/AtSVZMd1B8A60T0ob0FoKseqKD+u+YloT+1JdZlsSO6KIGxzH6&#10;Q6hJ4LTjLp78XrAuo0+MQy0ixUEQp4DNhUVbAv1bf4nMAw9CATIgeCPE0SiPdP3RqMdGquJkHA2z&#10;tw3ZAR1f1MofDWWjtH3bmHd4IOAk13D07bLtG69vs6Wu99BlVndT6gxdNNAKN8T5e2JhLKGxYNX4&#10;O/hwoXcl1v0Jo7W2334nD3ioIWgxCpUusfu6IZZhJD4qmKNJVhRhL8RLAX0DF3uqWZ5q1EbONVQi&#10;g6VmaDwGvBeHI7daPsFGqsKroCKKwtsl9ofj3HfLBzYaZVUVQbAJDPE36sHQ4DqwHBr9sX0i1vTT&#10;4KF5bvVhIZDpq6HosMFS6WrjNW/ixASeO1Z7/mGLxFbsN15YU6f3iHrZy7MfAAAA//8DAFBLAwQU&#10;AAYACAAAACEAtgKNvtsAAAAFAQAADwAAAGRycy9kb3ducmV2LnhtbEyPwU7DMBBE70j8g7VI3Fon&#10;RUIhxKmiVvTCAVHgwM2Nl8TFXkex24a/Z8ulXFZazWjmTbWcvBNHHKMNpCCfZyCQ2mAsdQre355m&#10;BYiYNBntAqGCH4ywrK+vKl2acKJXPG5TJziEYqkV9CkNpZSx7dHrOA8DEmtfYfQ68Tt20oz6xOHe&#10;yUWW3UuvLXFDrwdc9dh+bw/+3Du8dPvG5nazWX/6Z/+xaPZOqdubqXkEkXBKFzOc8RkdambahQOZ&#10;KJwCHpL+LmvFw10OYsemrChA1pX8T1//AgAA//8DAFBLAQItABQABgAIAAAAIQDkmcPA+wAAAOEB&#10;AAATAAAAAAAAAAAAAAAAAAAAAABbQ29udGVudF9UeXBlc10ueG1sUEsBAi0AFAAGAAgAAAAhACOy&#10;auHXAAAAlAEAAAsAAAAAAAAAAAAAAAAALAEAAF9yZWxzLy5yZWxzUEsBAi0AFAAGAAgAAAAhAEJ4&#10;FTPCAgAA3wUAAA4AAAAAAAAAAAAAAAAALAIAAGRycy9lMm9Eb2MueG1sUEsBAi0AFAAGAAgAAAAh&#10;ALYCjb7bAAAABQEAAA8AAAAAAAAAAAAAAAAAGgUAAGRycy9kb3ducmV2LnhtbFBLBQYAAAAABAAE&#10;APMAAAAi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4C783A03" w14:textId="77777777" w:rsidR="00874D02" w:rsidRPr="000904F6" w:rsidRDefault="00874D02" w:rsidP="00874D02">
                      <w:pPr>
                        <w:rPr>
                          <w:i/>
                        </w:rPr>
                      </w:pPr>
                      <w:r w:rsidRPr="000904F6">
                        <w:rPr>
                          <w:i/>
                        </w:rPr>
                        <w:t>Ongoing review of project activity and information provides the foundation of all sponsor oversight. Many oversight objectives can be addressed remotely as a regular part of the grantee’s working relationship with the sponsor.</w:t>
                      </w:r>
                    </w:p>
                    <w:p w14:paraId="3B565FAE" w14:textId="77777777" w:rsidR="00874D02" w:rsidRDefault="00874D02" w:rsidP="00874D02"/>
                  </w:txbxContent>
                </v:textbox>
                <w10:anchorlock/>
              </v:shape>
            </w:pict>
          </mc:Fallback>
        </mc:AlternateContent>
      </w:r>
    </w:p>
    <w:p w14:paraId="5D42FD55" w14:textId="5A0E7B11" w:rsidR="006405D6" w:rsidRDefault="00C520CD">
      <w:pPr>
        <w:pStyle w:val="Normal1"/>
        <w:numPr>
          <w:ilvl w:val="0"/>
          <w:numId w:val="6"/>
        </w:numPr>
        <w:ind w:hanging="360"/>
        <w:contextualSpacing/>
      </w:pPr>
      <w:r>
        <w:t>Provide a thorough explanation of off-site monitoring</w:t>
      </w:r>
      <w:r w:rsidR="00444759">
        <w:t>.</w:t>
      </w:r>
      <w:r>
        <w:t xml:space="preserve"> </w:t>
      </w:r>
    </w:p>
    <w:p w14:paraId="6DFD8D6D" w14:textId="3969F8C8" w:rsidR="006405D6" w:rsidRDefault="00C520CD">
      <w:pPr>
        <w:pStyle w:val="Normal1"/>
        <w:numPr>
          <w:ilvl w:val="0"/>
          <w:numId w:val="6"/>
        </w:numPr>
        <w:ind w:hanging="360"/>
        <w:contextualSpacing/>
      </w:pPr>
      <w:r>
        <w:t>Discuss and review what sponsor documents will be reviewed</w:t>
      </w:r>
      <w:r w:rsidR="00444759">
        <w:t>, as well as</w:t>
      </w:r>
      <w:r>
        <w:t xml:space="preserve"> frequency of review</w:t>
      </w:r>
      <w:r w:rsidR="00444759">
        <w:t>.</w:t>
      </w:r>
    </w:p>
    <w:p w14:paraId="33278FDA" w14:textId="77D47FE3" w:rsidR="006405D6" w:rsidRDefault="00C520CD">
      <w:pPr>
        <w:pStyle w:val="Normal1"/>
        <w:numPr>
          <w:ilvl w:val="0"/>
          <w:numId w:val="6"/>
        </w:numPr>
        <w:ind w:hanging="360"/>
        <w:contextualSpacing/>
      </w:pPr>
      <w:r>
        <w:t>Establish a process connecting the submission of performance reports and the documentation of eligible activities with the submission and payment of invoices</w:t>
      </w:r>
      <w:r w:rsidR="00444759">
        <w:t>.</w:t>
      </w:r>
      <w:r>
        <w:t xml:space="preserve"> </w:t>
      </w:r>
    </w:p>
    <w:p w14:paraId="0FC65E6A" w14:textId="3179E999" w:rsidR="006405D6" w:rsidRDefault="00C520CD">
      <w:pPr>
        <w:pStyle w:val="Normal1"/>
        <w:numPr>
          <w:ilvl w:val="0"/>
          <w:numId w:val="6"/>
        </w:numPr>
        <w:ind w:hanging="360"/>
        <w:contextualSpacing/>
      </w:pPr>
      <w:r>
        <w:t>Design and utilize a risk analysis tool to evaluate information contained in regularly occurring sponsor activities</w:t>
      </w:r>
      <w:r w:rsidR="00571E25">
        <w:t>, including</w:t>
      </w:r>
      <w:r w:rsidR="00FB3A72">
        <w:t>:</w:t>
      </w:r>
    </w:p>
    <w:p w14:paraId="4820AF2C" w14:textId="77777777" w:rsidR="006405D6" w:rsidRDefault="00C520CD">
      <w:pPr>
        <w:pStyle w:val="Normal1"/>
        <w:numPr>
          <w:ilvl w:val="1"/>
          <w:numId w:val="6"/>
        </w:numPr>
        <w:ind w:hanging="360"/>
        <w:contextualSpacing/>
      </w:pPr>
      <w:r>
        <w:t>Reporting</w:t>
      </w:r>
    </w:p>
    <w:p w14:paraId="28ECFA56" w14:textId="77777777" w:rsidR="006405D6" w:rsidRDefault="00C520CD">
      <w:pPr>
        <w:pStyle w:val="Normal1"/>
        <w:numPr>
          <w:ilvl w:val="1"/>
          <w:numId w:val="6"/>
        </w:numPr>
        <w:ind w:hanging="360"/>
        <w:contextualSpacing/>
      </w:pPr>
      <w:r>
        <w:t>Invoices</w:t>
      </w:r>
    </w:p>
    <w:p w14:paraId="264C766F" w14:textId="77777777" w:rsidR="006405D6" w:rsidRDefault="00C520CD">
      <w:pPr>
        <w:pStyle w:val="Normal1"/>
        <w:numPr>
          <w:ilvl w:val="1"/>
          <w:numId w:val="6"/>
        </w:numPr>
        <w:ind w:hanging="360"/>
        <w:contextualSpacing/>
      </w:pPr>
      <w:r>
        <w:t>Budget line-item spending rates</w:t>
      </w:r>
    </w:p>
    <w:p w14:paraId="5E6834D9" w14:textId="2D035D5D" w:rsidR="006405D6" w:rsidRDefault="00C520CD">
      <w:pPr>
        <w:pStyle w:val="Normal1"/>
        <w:numPr>
          <w:ilvl w:val="1"/>
          <w:numId w:val="6"/>
        </w:numPr>
        <w:ind w:hanging="360"/>
        <w:contextualSpacing/>
      </w:pPr>
      <w:r>
        <w:t>Correspondence or written documents detailing issues/concerns</w:t>
      </w:r>
    </w:p>
    <w:p w14:paraId="12B05C4E" w14:textId="2F673F21" w:rsidR="006405D6" w:rsidRDefault="00C520CD" w:rsidP="00F86E37">
      <w:pPr>
        <w:pStyle w:val="Normal1"/>
        <w:numPr>
          <w:ilvl w:val="1"/>
          <w:numId w:val="6"/>
        </w:numPr>
        <w:ind w:hanging="360"/>
        <w:contextualSpacing/>
      </w:pPr>
      <w:r>
        <w:t>Key staff turnover</w:t>
      </w:r>
    </w:p>
    <w:p w14:paraId="37A76CCB" w14:textId="77777777" w:rsidR="00390650" w:rsidRDefault="00C520CD" w:rsidP="00390650">
      <w:pPr>
        <w:pStyle w:val="Normal1"/>
        <w:spacing w:before="200" w:after="200"/>
        <w:rPr>
          <w:b/>
        </w:rPr>
      </w:pPr>
      <w:r>
        <w:rPr>
          <w:b/>
        </w:rPr>
        <w:t xml:space="preserve">On-Site Monitoring </w:t>
      </w:r>
    </w:p>
    <w:p w14:paraId="7583EA99" w14:textId="2D058901" w:rsidR="000305F3" w:rsidRDefault="00390650" w:rsidP="00390650">
      <w:pPr>
        <w:pStyle w:val="Normal1"/>
        <w:spacing w:before="200" w:after="200"/>
        <w:rPr>
          <w:b/>
        </w:rPr>
      </w:pPr>
      <w:r w:rsidRPr="00390650">
        <w:rPr>
          <w:b/>
          <w:noProof/>
        </w:rPr>
        <mc:AlternateContent>
          <mc:Choice Requires="wps">
            <w:drawing>
              <wp:inline distT="0" distB="0" distL="0" distR="0" wp14:anchorId="269C76A0" wp14:editId="5B7FA620">
                <wp:extent cx="5787390" cy="631825"/>
                <wp:effectExtent l="50800" t="25400" r="80010" b="1047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6318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0B655" w14:textId="77777777" w:rsidR="00390650" w:rsidRPr="000904F6" w:rsidRDefault="00390650" w:rsidP="00390650">
                            <w:pPr>
                              <w:rPr>
                                <w:i/>
                              </w:rPr>
                            </w:pPr>
                            <w:r w:rsidRPr="000904F6">
                              <w:rPr>
                                <w:i/>
                              </w:rPr>
                              <w:t>Periodic on-site monitoring complements ongoing remote monitoring, and fosters strong working relationships between grantees and sponsors by providing opportunities for more in-depth interaction.</w:t>
                            </w:r>
                          </w:p>
                          <w:p w14:paraId="2E4FD35D" w14:textId="77777777" w:rsidR="00390650" w:rsidRDefault="00390650" w:rsidP="00390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width:455.7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r+VMACAADfBQAADgAAAGRycy9lMm9Eb2MueG1srFTJbtswEL0X6D8QvDuSvMQLIgeKAxcFgiRo&#10;UuRMU6QtlFtJ2pYb9N87pCTHTdugKHqRhjNvhpw3y8VlLQXaMesqrXKcnaUYMUV1Wal1jj8/LnsT&#10;jJwnqiRCK5bjA3P4cv7+3cXezFhfb7QomUUQRLnZ3uR4472ZJYmjGyaJO9OGKTBybSXxcLTrpLRk&#10;D9GlSPppep7stS2N1ZQ5B9rrxojnMT7njPo7zh3zSOQY3ubj18bvKnyT+QWZrS0xm4q2zyD/8ApJ&#10;KgWXHkNdE0/Q1la/hJIVtdpp7s+olonmvKIs5gDZZOmrbB42xLCYC5DjzJEm9//C0tvdvUVVmeMB&#10;RopIKNEjqz260jUaBHb2xs0A9GAA5mtQQ5U7vQNlSLrmVoY/pIPADjwfjtyGYBSUo/FkPJiCiYLt&#10;fJBN+qMQJnnxNtb5D0xLFIQcW6hdpJTsbpxvoB0kXCZUrB3EB3NQhJsi5c+L0bhfjEfT3nkxynrD&#10;LJ30iiLt966XRVqkw+ViOrz6DrElyYazPRTfQOuEtCG9pSDrluhg/jumJaE/9WWWJbEjmldD4Jho&#10;99QkcNpwFyV/EKzJ6BPjUItIcVDEKWALYdGOQP+WXyLzQJlQgAwIXglxdOpHuv7o1GIjVXEyjo7Z&#10;246sQ8cbtfJHR1kpbd925g0eCDjJNYi+XtVt4wFNQbPS5QG6zOpmSp2hywpa4YY4f08sjCV0D6wa&#10;fwcfLvQ+x7qVMNpo++13+oCHGoIVo1DpHLuvW2IZRuKjgjmaZsNh2AvxMIS+gYM9taxOLWorFxoq&#10;kcFSMzSKAe9FJ3Kr5RNspCLcCiaiKNydY9+JC98sH9holBVFBMEmMMTfqAdDQ+jAcmj0x/qJWNNO&#10;g4fmudXdQiCzV0PRYIOn0sXWa17FiXlhteUftkhsxXbjhTV1eo6ol708/wEAAP//AwBQSwMEFAAG&#10;AAgAAAAhAIAliQ3bAAAABAEAAA8AAABkcnMvZG93bnJldi54bWxMjzFPwzAQhXek/gfrKrFRJxWg&#10;NsSpIhBdGBAtDGxufCQu9jmK3Tb8e64sZTnd6Z3e+165Gr0TRxyiDaQgn2UgkJpgLLUK3rfPNwsQ&#10;MWky2gVCBT8YYVVNrkpdmHCiNzxuUivYhGKhFXQp9YWUsenQ6zgLPRJrX2HwOvE5tNIM+sTm3sl5&#10;lt1Lry1xQqd7fOyw+d4c/Dm3f233tc3tev306V/8x7zeO6Wup2P9ACLhmC7PcMZndKiYaRcOZKJw&#10;CrhI+pusLfP8FsSOl+UdyKqU/+GrXwAAAP//AwBQSwECLQAUAAYACAAAACEA5JnDwPsAAADhAQAA&#10;EwAAAAAAAAAAAAAAAAAAAAAAW0NvbnRlbnRfVHlwZXNdLnhtbFBLAQItABQABgAIAAAAIQAjsmrh&#10;1wAAAJQBAAALAAAAAAAAAAAAAAAAACwBAABfcmVscy8ucmVsc1BLAQItABQABgAIAAAAIQC3uv5U&#10;wAIAAN8FAAAOAAAAAAAAAAAAAAAAACwCAABkcnMvZTJvRG9jLnhtbFBLAQItABQABgAIAAAAIQCA&#10;JYkN2wAAAAQBAAAPAAAAAAAAAAAAAAAAABgFAABkcnMvZG93bnJldi54bWxQSwUGAAAAAAQABADz&#10;AAAAIA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78B0B655" w14:textId="77777777" w:rsidR="00390650" w:rsidRPr="000904F6" w:rsidRDefault="00390650" w:rsidP="00390650">
                      <w:pPr>
                        <w:rPr>
                          <w:i/>
                        </w:rPr>
                      </w:pPr>
                      <w:r w:rsidRPr="000904F6">
                        <w:rPr>
                          <w:i/>
                        </w:rPr>
                        <w:t>Periodic on-site monitoring complements ongoing remote monitoring, and fosters strong working relationships between grantees and sponsors by providing opportunities for more in-depth interaction.</w:t>
                      </w:r>
                    </w:p>
                    <w:p w14:paraId="2E4FD35D" w14:textId="77777777" w:rsidR="00390650" w:rsidRDefault="00390650" w:rsidP="00390650"/>
                  </w:txbxContent>
                </v:textbox>
                <w10:anchorlock/>
              </v:shape>
            </w:pict>
          </mc:Fallback>
        </mc:AlternateContent>
      </w:r>
    </w:p>
    <w:p w14:paraId="0EBA296E" w14:textId="0CF69F54" w:rsidR="006405D6" w:rsidRDefault="00C520CD">
      <w:pPr>
        <w:pStyle w:val="Normal1"/>
      </w:pPr>
      <w:r>
        <w:rPr>
          <w:u w:val="single"/>
        </w:rPr>
        <w:t xml:space="preserve">Action steps for </w:t>
      </w:r>
      <w:r w:rsidR="006E5033">
        <w:rPr>
          <w:u w:val="single"/>
        </w:rPr>
        <w:t>o</w:t>
      </w:r>
      <w:r>
        <w:rPr>
          <w:u w:val="single"/>
        </w:rPr>
        <w:t>n-site monitoring</w:t>
      </w:r>
      <w:r>
        <w:t>:</w:t>
      </w:r>
    </w:p>
    <w:p w14:paraId="16D42527" w14:textId="77777777" w:rsidR="006405D6" w:rsidRDefault="00C520CD">
      <w:pPr>
        <w:pStyle w:val="Normal1"/>
        <w:numPr>
          <w:ilvl w:val="0"/>
          <w:numId w:val="1"/>
        </w:numPr>
        <w:ind w:hanging="360"/>
        <w:contextualSpacing/>
      </w:pPr>
      <w:r>
        <w:t xml:space="preserve">Preparation </w:t>
      </w:r>
    </w:p>
    <w:p w14:paraId="63A1F885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Risk analysis completion</w:t>
      </w:r>
    </w:p>
    <w:p w14:paraId="57C7FEBA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Scheduling and sending advanced notice</w:t>
      </w:r>
    </w:p>
    <w:p w14:paraId="2E83FB71" w14:textId="17BB1CD0" w:rsidR="006405D6" w:rsidRDefault="00981BB2">
      <w:pPr>
        <w:pStyle w:val="Normal1"/>
        <w:numPr>
          <w:ilvl w:val="2"/>
          <w:numId w:val="10"/>
        </w:numPr>
        <w:ind w:hanging="360"/>
        <w:contextualSpacing/>
      </w:pPr>
      <w:r>
        <w:t>Advanced notice should be in</w:t>
      </w:r>
      <w:r w:rsidR="00C520CD">
        <w:t xml:space="preserve"> writing and </w:t>
      </w:r>
      <w:r>
        <w:t xml:space="preserve">sent </w:t>
      </w:r>
      <w:r w:rsidR="00C520CD">
        <w:t>at least one month ahead</w:t>
      </w:r>
      <w:r>
        <w:t xml:space="preserve"> of the site visit</w:t>
      </w:r>
      <w:r w:rsidR="00C520CD">
        <w:t>, and should include</w:t>
      </w:r>
      <w:r w:rsidR="006E5033">
        <w:t>:</w:t>
      </w:r>
      <w:r w:rsidR="00C520CD">
        <w:tab/>
      </w:r>
    </w:p>
    <w:p w14:paraId="1851D7AC" w14:textId="5D7E6159" w:rsidR="006405D6" w:rsidRDefault="00C520CD">
      <w:pPr>
        <w:pStyle w:val="Normal1"/>
        <w:numPr>
          <w:ilvl w:val="3"/>
          <w:numId w:val="10"/>
        </w:numPr>
        <w:ind w:hanging="360"/>
        <w:contextualSpacing/>
      </w:pPr>
      <w:r>
        <w:t xml:space="preserve">Date, time, </w:t>
      </w:r>
      <w:r w:rsidR="00981BB2">
        <w:t xml:space="preserve">and </w:t>
      </w:r>
      <w:r>
        <w:t>location</w:t>
      </w:r>
      <w:r w:rsidR="00981BB2">
        <w:t xml:space="preserve"> of the site visit</w:t>
      </w:r>
    </w:p>
    <w:p w14:paraId="16CBAF1D" w14:textId="77777777" w:rsidR="006405D6" w:rsidRDefault="00C520CD">
      <w:pPr>
        <w:pStyle w:val="Normal1"/>
        <w:numPr>
          <w:ilvl w:val="3"/>
          <w:numId w:val="10"/>
        </w:numPr>
        <w:ind w:hanging="360"/>
        <w:contextualSpacing/>
      </w:pPr>
      <w:r>
        <w:t>Names of participating grantee and project sponsor staff</w:t>
      </w:r>
    </w:p>
    <w:p w14:paraId="1F09A5E8" w14:textId="77777777" w:rsidR="006405D6" w:rsidRDefault="00C520CD">
      <w:pPr>
        <w:pStyle w:val="Normal1"/>
        <w:numPr>
          <w:ilvl w:val="3"/>
          <w:numId w:val="10"/>
        </w:numPr>
        <w:ind w:hanging="360"/>
        <w:contextualSpacing/>
      </w:pPr>
      <w:r>
        <w:t>Activities and functions to be monitored</w:t>
      </w:r>
    </w:p>
    <w:p w14:paraId="502E7BDD" w14:textId="2828BF3C" w:rsidR="006405D6" w:rsidRDefault="00C520CD">
      <w:pPr>
        <w:pStyle w:val="Normal1"/>
        <w:numPr>
          <w:ilvl w:val="3"/>
          <w:numId w:val="10"/>
        </w:numPr>
        <w:ind w:hanging="360"/>
        <w:contextualSpacing/>
      </w:pPr>
      <w:r>
        <w:t>Required materials (</w:t>
      </w:r>
      <w:r w:rsidR="00981BB2">
        <w:t>e</w:t>
      </w:r>
      <w:r>
        <w:t>.</w:t>
      </w:r>
      <w:r w:rsidR="00981BB2">
        <w:t>g</w:t>
      </w:r>
      <w:r>
        <w:t>.</w:t>
      </w:r>
      <w:r w:rsidR="006E5033">
        <w:t>,</w:t>
      </w:r>
      <w:r>
        <w:t xml:space="preserve"> financial records, participant files)</w:t>
      </w:r>
    </w:p>
    <w:p w14:paraId="2252AB2C" w14:textId="4CE5ABF2" w:rsidR="006405D6" w:rsidRDefault="00C520CD">
      <w:pPr>
        <w:pStyle w:val="Normal1"/>
        <w:numPr>
          <w:ilvl w:val="3"/>
          <w:numId w:val="10"/>
        </w:numPr>
        <w:ind w:hanging="360"/>
        <w:contextualSpacing/>
      </w:pPr>
      <w:r>
        <w:t>Required resources (</w:t>
      </w:r>
      <w:r w:rsidR="006E5033">
        <w:t>e.g.,</w:t>
      </w:r>
      <w:r>
        <w:t xml:space="preserve"> conference room, </w:t>
      </w:r>
      <w:r w:rsidR="006E5033">
        <w:t>I</w:t>
      </w:r>
      <w:r>
        <w:t>nternet</w:t>
      </w:r>
      <w:r w:rsidR="006E5033">
        <w:t xml:space="preserve"> access</w:t>
      </w:r>
      <w:r>
        <w:t>)</w:t>
      </w:r>
    </w:p>
    <w:p w14:paraId="587D8150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Preparing for the site visit</w:t>
      </w:r>
    </w:p>
    <w:p w14:paraId="61D6BB18" w14:textId="22024BBE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Document review and assembl</w:t>
      </w:r>
      <w:r w:rsidR="006E5033">
        <w:t>e</w:t>
      </w:r>
      <w:r>
        <w:t xml:space="preserve"> tools/materials</w:t>
      </w:r>
    </w:p>
    <w:p w14:paraId="05D46A2E" w14:textId="77777777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Confirm site visit details with grantee/sponsor</w:t>
      </w:r>
    </w:p>
    <w:p w14:paraId="40FA0DC0" w14:textId="77777777" w:rsidR="006405D6" w:rsidRDefault="00C520CD">
      <w:pPr>
        <w:pStyle w:val="Normal1"/>
        <w:numPr>
          <w:ilvl w:val="0"/>
          <w:numId w:val="1"/>
        </w:numPr>
        <w:ind w:hanging="360"/>
        <w:contextualSpacing/>
      </w:pPr>
      <w:r>
        <w:t>Execution</w:t>
      </w:r>
    </w:p>
    <w:p w14:paraId="53EE4A94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Conduct a site visit opening meeting</w:t>
      </w:r>
    </w:p>
    <w:p w14:paraId="77AFE2B5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Provide for and discuss client confidentiality</w:t>
      </w:r>
    </w:p>
    <w:p w14:paraId="31993CE1" w14:textId="7072778A" w:rsidR="006405D6" w:rsidRDefault="006E5033">
      <w:pPr>
        <w:pStyle w:val="Normal1"/>
        <w:numPr>
          <w:ilvl w:val="1"/>
          <w:numId w:val="10"/>
        </w:numPr>
        <w:ind w:hanging="360"/>
        <w:contextualSpacing/>
      </w:pPr>
      <w:r>
        <w:t>G</w:t>
      </w:r>
      <w:r w:rsidR="00C520CD">
        <w:t>ather</w:t>
      </w:r>
      <w:r>
        <w:t xml:space="preserve"> data</w:t>
      </w:r>
    </w:p>
    <w:p w14:paraId="5EC158C8" w14:textId="77777777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Agency file reviews – policies and financial documents</w:t>
      </w:r>
    </w:p>
    <w:p w14:paraId="3A77D0B7" w14:textId="77777777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Client file reviews</w:t>
      </w:r>
    </w:p>
    <w:p w14:paraId="218ED114" w14:textId="77777777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Tours of project site or housing units</w:t>
      </w:r>
    </w:p>
    <w:p w14:paraId="7EF7A283" w14:textId="49A450AD" w:rsidR="006405D6" w:rsidRDefault="00C520CD">
      <w:pPr>
        <w:pStyle w:val="Normal1"/>
        <w:numPr>
          <w:ilvl w:val="2"/>
          <w:numId w:val="10"/>
        </w:numPr>
        <w:ind w:hanging="360"/>
        <w:contextualSpacing/>
      </w:pPr>
      <w:r>
        <w:t>Interview</w:t>
      </w:r>
      <w:r w:rsidR="00981BB2">
        <w:t>s</w:t>
      </w:r>
      <w:r>
        <w:t xml:space="preserve"> with staff/clients</w:t>
      </w:r>
    </w:p>
    <w:p w14:paraId="7D2268E8" w14:textId="77777777" w:rsidR="006405D6" w:rsidRDefault="00C520CD">
      <w:pPr>
        <w:pStyle w:val="Normal1"/>
        <w:numPr>
          <w:ilvl w:val="0"/>
          <w:numId w:val="1"/>
        </w:numPr>
        <w:ind w:hanging="360"/>
        <w:contextualSpacing/>
      </w:pPr>
      <w:r>
        <w:t xml:space="preserve">Completion of monitoring tools </w:t>
      </w:r>
    </w:p>
    <w:p w14:paraId="2C1F8D16" w14:textId="77777777" w:rsidR="006405D6" w:rsidRDefault="00C520CD">
      <w:pPr>
        <w:pStyle w:val="Normal1"/>
        <w:numPr>
          <w:ilvl w:val="0"/>
          <w:numId w:val="5"/>
        </w:numPr>
        <w:ind w:hanging="360"/>
        <w:contextualSpacing/>
      </w:pPr>
      <w:r>
        <w:t>Checklists relevant for the specific area to be monitored</w:t>
      </w:r>
    </w:p>
    <w:p w14:paraId="517441C2" w14:textId="77777777" w:rsidR="006405D6" w:rsidRDefault="00C520CD">
      <w:pPr>
        <w:pStyle w:val="Normal1"/>
        <w:numPr>
          <w:ilvl w:val="0"/>
          <w:numId w:val="1"/>
        </w:numPr>
        <w:ind w:hanging="360"/>
        <w:contextualSpacing/>
      </w:pPr>
      <w:r>
        <w:t>Site visit exit interview</w:t>
      </w:r>
    </w:p>
    <w:p w14:paraId="740B953A" w14:textId="7260DBEC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lastRenderedPageBreak/>
        <w:t xml:space="preserve">Brief review </w:t>
      </w:r>
      <w:r w:rsidR="00981BB2">
        <w:t xml:space="preserve">of </w:t>
      </w:r>
      <w:r>
        <w:t>any findings, concerns/improvement areas</w:t>
      </w:r>
    </w:p>
    <w:p w14:paraId="7B68C588" w14:textId="08E1D111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 xml:space="preserve">Brief review </w:t>
      </w:r>
      <w:r w:rsidR="00981BB2">
        <w:t xml:space="preserve">of </w:t>
      </w:r>
      <w:r>
        <w:t>areas of strengths, etc.</w:t>
      </w:r>
    </w:p>
    <w:p w14:paraId="7D6EEF29" w14:textId="5A1E350B" w:rsidR="006405D6" w:rsidRDefault="00981BB2">
      <w:pPr>
        <w:pStyle w:val="Normal1"/>
        <w:numPr>
          <w:ilvl w:val="1"/>
          <w:numId w:val="10"/>
        </w:numPr>
        <w:ind w:hanging="360"/>
        <w:contextualSpacing/>
      </w:pPr>
      <w:r>
        <w:t>E</w:t>
      </w:r>
      <w:r w:rsidR="00C520CD">
        <w:t>xplanation of the site visit follow-up process</w:t>
      </w:r>
    </w:p>
    <w:p w14:paraId="23D9E25F" w14:textId="77777777" w:rsidR="006405D6" w:rsidRDefault="00C520CD">
      <w:pPr>
        <w:pStyle w:val="Normal1"/>
        <w:numPr>
          <w:ilvl w:val="0"/>
          <w:numId w:val="3"/>
        </w:numPr>
        <w:ind w:hanging="360"/>
        <w:contextualSpacing/>
      </w:pPr>
      <w:r>
        <w:t xml:space="preserve">Site visit follow-up </w:t>
      </w:r>
    </w:p>
    <w:p w14:paraId="78CE0E55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Results of the monitoring visit – findings, concerns/improvement areas</w:t>
      </w:r>
    </w:p>
    <w:p w14:paraId="1408B916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Information needed to resolve findings or concerns</w:t>
      </w:r>
    </w:p>
    <w:p w14:paraId="2DB12B2E" w14:textId="77777777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>Corrective action plan, as applicable</w:t>
      </w:r>
    </w:p>
    <w:p w14:paraId="00D2414E" w14:textId="394B0D5A" w:rsidR="006405D6" w:rsidRDefault="00C520CD">
      <w:pPr>
        <w:pStyle w:val="Normal1"/>
        <w:numPr>
          <w:ilvl w:val="1"/>
          <w:numId w:val="10"/>
        </w:numPr>
        <w:ind w:hanging="360"/>
        <w:contextualSpacing/>
      </w:pPr>
      <w:r>
        <w:t xml:space="preserve">Timelines and responsible parties </w:t>
      </w:r>
      <w:r w:rsidR="00981BB2">
        <w:t xml:space="preserve">to </w:t>
      </w:r>
      <w:r>
        <w:t>complet</w:t>
      </w:r>
      <w:r w:rsidR="00981BB2">
        <w:t>e</w:t>
      </w:r>
      <w:r>
        <w:t xml:space="preserve"> the corrective action plan, as applicable</w:t>
      </w:r>
    </w:p>
    <w:p w14:paraId="1984D2C5" w14:textId="26EDA670" w:rsidR="0066657C" w:rsidRDefault="00C520CD" w:rsidP="00F86E37">
      <w:pPr>
        <w:pStyle w:val="Normal1"/>
        <w:spacing w:before="200" w:after="200"/>
        <w:rPr>
          <w:b/>
        </w:rPr>
      </w:pPr>
      <w:r>
        <w:rPr>
          <w:b/>
        </w:rPr>
        <w:t xml:space="preserve">Monitoring Schedule </w:t>
      </w:r>
    </w:p>
    <w:p w14:paraId="004A62D7" w14:textId="7328AF37" w:rsidR="006405D6" w:rsidRDefault="009765B6">
      <w:pPr>
        <w:pStyle w:val="Normal1"/>
      </w:pPr>
      <w:r w:rsidRPr="000904F6">
        <w:rPr>
          <w:b/>
          <w:noProof/>
        </w:rPr>
        <mc:AlternateContent>
          <mc:Choice Requires="wps">
            <w:drawing>
              <wp:inline distT="0" distB="0" distL="0" distR="0" wp14:anchorId="401F0B9D" wp14:editId="37E6F39E">
                <wp:extent cx="5748655" cy="544830"/>
                <wp:effectExtent l="50800" t="25400" r="67945" b="901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5448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BA93" w14:textId="47D91C73" w:rsidR="00FB3A72" w:rsidRPr="000904F6" w:rsidRDefault="00FB3A72" w:rsidP="000904F6">
                            <w:pPr>
                              <w:rPr>
                                <w:i/>
                              </w:rPr>
                            </w:pPr>
                            <w:r w:rsidRPr="000904F6">
                              <w:rPr>
                                <w:i/>
                              </w:rPr>
                              <w:t>Establishing a schedule for remote and on-site monitoring activities is critical to ensuring that oversight activities are carried out on a consistent basis.</w:t>
                            </w:r>
                            <w:r w:rsidR="00A94F7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E01C6CA" w14:textId="77777777" w:rsidR="00FB3A72" w:rsidRDefault="00FB3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0" type="#_x0000_t202" style="width:452.6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xw4sICAADfBQAADgAAAGRycy9lMm9Eb2MueG1srFRtb9MwEP6OxH+w/L1LUpKtq5ZOWacipGmb&#10;2NA+u47dRvgN221TEP+ds5N0ZcCEEF8S++65891zLxeXrRRoy6xrtCpxdpJixBTVdaNWJf70uBhN&#10;MHKeqJoIrViJ98zhy9nbNxc7M2VjvdaiZhaBE+WmO1PitfdmmiSOrpkk7kQbpkDJtZXEw9WuktqS&#10;HXiXIhmn6Wmy07Y2VlPmHEivOyWeRf+cM+rvOHfMI1FiiM3Hr43fZfgmswsyXVli1g3twyD/EIUk&#10;jYJHD66uiSdoY5tfXMmGWu009ydUy0Rz3lAWc4BssvRFNg9rYljMBchx5kCT+39u6e323qKmLnGO&#10;kSISSvTIWo+udIvywM7OuCmAHgzAfAtiqPIgdyAMSbfcyvCHdBDogef9gdvgjIKwOMsnp0WBEQVd&#10;keeTd5H85NnaWOffMy1ROJTYQu0ipWR74zxEAtABEh4TKtYO/IM6CMJLkfJv8+JsXJ0V56PTqshG&#10;eZZORlWVjkfXiyqt0nwxP8+vvoNvSbJ8uoPiG2idkDaktxBk1RMd1H/HtCT0p77MsiR2RBc1OI7R&#10;D6EmgdOOu3jye8G6jD4yDrWIFAdBnAI2FxZtCfRv/TkyDzwIBciA4I0QB6NxpOuPRj02UhUn42CY&#10;vW7IBnR8USt/MJSN0vZ1Y97hgYCjXMPRt8u2b7y+zZa63kOXWd1NqTN00UAr3BDn74mFsYTGglXj&#10;7+DDhd6VWPcnjNbafv2dPOChhqDFKFS6xO7LhliGkfigYI7OszwPeyFecugbuNhjzfJYozZyrqES&#10;GSw1Q+Mx4L0Yjtxq+QQbqQqvgoooCm+X2A/Hue+WD2w0yqoqgmATGOJv1IOhwXVgOTT6Y/tErOmn&#10;wUPz3OphIZDpi6HosMFS6WrjNW/ixASeO1Z7/mGLxFbsN15YU8f3iHrey7MfAAAA//8DAFBLAwQU&#10;AAYACAAAACEAHGBLwdsAAAAEAQAADwAAAGRycy9kb3ducmV2LnhtbEyPwU7DMBBE70j9B2srcaNO&#10;i4pCiFNFIHrhgGjLgds2XhIXex3Fbhv+HpcLXEZazWrmTbkanRUnGoLxrGA+y0AQN14bbhXsts83&#10;OYgQkTVaz6TgmwKsqslViYX2Z36j0ya2IoVwKFBBF2NfSBmajhyGme+Jk/fpB4cxnUMr9YDnFO6s&#10;XGTZnXRoODV02NNjR83X5uguvf1re6jN3KzXTx/uxb0v6oNV6no61g8gIo3x7xku+AkdqsS090fW&#10;QVgFaUj81eTdZ8tbEHsF+TIHWZXyP3z1AwAA//8DAFBLAQItABQABgAIAAAAIQDkmcPA+wAAAOEB&#10;AAATAAAAAAAAAAAAAAAAAAAAAABbQ29udGVudF9UeXBlc10ueG1sUEsBAi0AFAAGAAgAAAAhACOy&#10;auHXAAAAlAEAAAsAAAAAAAAAAAAAAAAALAEAAF9yZWxzLy5yZWxzUEsBAi0AFAAGAAgAAAAhAA9M&#10;cOLCAgAA3wUAAA4AAAAAAAAAAAAAAAAALAIAAGRycy9lMm9Eb2MueG1sUEsBAi0AFAAGAAgAAAAh&#10;ABxgS8HbAAAABAEAAA8AAAAAAAAAAAAAAAAAGgUAAGRycy9kb3ducmV2LnhtbFBLBQYAAAAABAAE&#10;APMAAAAi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806BA93" w14:textId="47D91C73" w:rsidR="00FB3A72" w:rsidRPr="000904F6" w:rsidRDefault="00FB3A72" w:rsidP="000904F6">
                      <w:pPr>
                        <w:rPr>
                          <w:i/>
                        </w:rPr>
                      </w:pPr>
                      <w:r w:rsidRPr="000904F6">
                        <w:rPr>
                          <w:i/>
                        </w:rPr>
                        <w:t>Establishing a schedule for remote and on-site monitoring activities is critical to ensuring that oversight activities are carried out on a consistent basis.</w:t>
                      </w:r>
                      <w:r w:rsidR="00A94F77">
                        <w:rPr>
                          <w:i/>
                        </w:rPr>
                        <w:t xml:space="preserve"> </w:t>
                      </w:r>
                    </w:p>
                    <w:p w14:paraId="4E01C6CA" w14:textId="77777777" w:rsidR="00FB3A72" w:rsidRDefault="00FB3A72"/>
                  </w:txbxContent>
                </v:textbox>
                <w10:anchorlock/>
              </v:shape>
            </w:pict>
          </mc:Fallback>
        </mc:AlternateContent>
      </w:r>
      <w:r w:rsidR="00C520CD">
        <w:rPr>
          <w:u w:val="single"/>
        </w:rPr>
        <w:t xml:space="preserve">Remote </w:t>
      </w:r>
      <w:r w:rsidR="0041021B">
        <w:rPr>
          <w:u w:val="single"/>
        </w:rPr>
        <w:t>m</w:t>
      </w:r>
      <w:r w:rsidR="00C520CD">
        <w:rPr>
          <w:u w:val="single"/>
        </w:rPr>
        <w:t>onitoring</w:t>
      </w:r>
      <w:r w:rsidR="00C520CD">
        <w:t>:</w:t>
      </w:r>
    </w:p>
    <w:p w14:paraId="65DE5068" w14:textId="0616DB2D" w:rsidR="006405D6" w:rsidRDefault="00C520CD" w:rsidP="00F86E37">
      <w:pPr>
        <w:pStyle w:val="Normal1"/>
        <w:numPr>
          <w:ilvl w:val="0"/>
          <w:numId w:val="11"/>
        </w:numPr>
        <w:ind w:left="1260" w:hanging="450"/>
        <w:contextualSpacing/>
      </w:pPr>
      <w:r>
        <w:t>Provide the sponsor with a schedule for reviewing billing documentation and performance reports, etc.</w:t>
      </w:r>
    </w:p>
    <w:p w14:paraId="1CBF97E6" w14:textId="3EAEA992" w:rsidR="006405D6" w:rsidRDefault="00C520CD" w:rsidP="00F86E37">
      <w:pPr>
        <w:pStyle w:val="Normal1"/>
        <w:spacing w:before="200"/>
      </w:pPr>
      <w:r>
        <w:rPr>
          <w:u w:val="single"/>
        </w:rPr>
        <w:t xml:space="preserve">On-site </w:t>
      </w:r>
      <w:r w:rsidR="00820B57">
        <w:rPr>
          <w:u w:val="single"/>
        </w:rPr>
        <w:t>m</w:t>
      </w:r>
      <w:r>
        <w:rPr>
          <w:u w:val="single"/>
        </w:rPr>
        <w:t>onitoring</w:t>
      </w:r>
      <w:r>
        <w:t>:</w:t>
      </w:r>
    </w:p>
    <w:p w14:paraId="7D331E87" w14:textId="4DAC2D5D" w:rsidR="006405D6" w:rsidRDefault="00C520CD">
      <w:pPr>
        <w:pStyle w:val="Normal1"/>
        <w:numPr>
          <w:ilvl w:val="0"/>
          <w:numId w:val="2"/>
        </w:numPr>
        <w:ind w:hanging="360"/>
        <w:contextualSpacing/>
      </w:pPr>
      <w:r>
        <w:t>Provide the sponsor with a schedule for conducting annual or set-cycle visits depending upon</w:t>
      </w:r>
      <w:r w:rsidR="0066657C">
        <w:t>:</w:t>
      </w:r>
    </w:p>
    <w:p w14:paraId="2D27284A" w14:textId="77777777" w:rsidR="006405D6" w:rsidRDefault="00C520CD">
      <w:pPr>
        <w:pStyle w:val="Normal1"/>
        <w:numPr>
          <w:ilvl w:val="1"/>
          <w:numId w:val="2"/>
        </w:numPr>
        <w:ind w:left="1440" w:hanging="360"/>
        <w:contextualSpacing/>
      </w:pPr>
      <w:r>
        <w:t>Geographic scope</w:t>
      </w:r>
    </w:p>
    <w:p w14:paraId="4922F6C8" w14:textId="60C02F07" w:rsidR="006405D6" w:rsidRDefault="00C520CD" w:rsidP="00F86E37">
      <w:pPr>
        <w:pStyle w:val="Normal1"/>
        <w:numPr>
          <w:ilvl w:val="1"/>
          <w:numId w:val="2"/>
        </w:numPr>
        <w:ind w:left="1440" w:hanging="360"/>
        <w:contextualSpacing/>
      </w:pPr>
      <w:bookmarkStart w:id="0" w:name="h.gjdgxs" w:colFirst="0" w:colLast="0"/>
      <w:bookmarkEnd w:id="0"/>
      <w:r>
        <w:t>Risk analysis results</w:t>
      </w:r>
    </w:p>
    <w:sectPr w:rsidR="006405D6" w:rsidSect="00F86E37">
      <w:footerReference w:type="default" r:id="rId8"/>
      <w:pgSz w:w="12240" w:h="15840"/>
      <w:pgMar w:top="720" w:right="1440" w:bottom="72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431D" w14:textId="77777777" w:rsidR="00961652" w:rsidRDefault="00961652">
      <w:r>
        <w:separator/>
      </w:r>
    </w:p>
  </w:endnote>
  <w:endnote w:type="continuationSeparator" w:id="0">
    <w:p w14:paraId="07EE9B4A" w14:textId="77777777" w:rsidR="00961652" w:rsidRDefault="0096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kkitt">
    <w:altName w:val="Times New Roman"/>
    <w:panose1 w:val="00000000000000000000"/>
    <w:charset w:val="00"/>
    <w:family w:val="roman"/>
    <w:notTrueType/>
    <w:pitch w:val="default"/>
  </w:font>
  <w:font w:name="Domine"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AAE84" w14:textId="77777777" w:rsidR="00FB3A72" w:rsidRDefault="00FB3A72">
    <w:pPr>
      <w:pStyle w:val="Normal1"/>
      <w:tabs>
        <w:tab w:val="center" w:pos="4680"/>
        <w:tab w:val="right" w:pos="9360"/>
      </w:tabs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FBC6" w14:textId="77777777" w:rsidR="00961652" w:rsidRDefault="00961652">
      <w:r>
        <w:separator/>
      </w:r>
    </w:p>
  </w:footnote>
  <w:footnote w:type="continuationSeparator" w:id="0">
    <w:p w14:paraId="553D537E" w14:textId="77777777" w:rsidR="00961652" w:rsidRDefault="0096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15"/>
    <w:multiLevelType w:val="multilevel"/>
    <w:tmpl w:val="6FA80664"/>
    <w:lvl w:ilvl="0">
      <w:start w:val="1"/>
      <w:numFmt w:val="bullet"/>
      <w:lvlText w:val="❏"/>
      <w:lvlJc w:val="left"/>
      <w:pPr>
        <w:ind w:left="990" w:firstLine="63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710" w:firstLine="135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30" w:firstLine="207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50" w:firstLine="279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70" w:firstLine="351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90" w:firstLine="423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310" w:firstLine="495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30" w:firstLine="567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50" w:firstLine="6390"/>
      </w:pPr>
      <w:rPr>
        <w:rFonts w:ascii="Arial" w:eastAsia="Arial" w:hAnsi="Arial" w:cs="Arial"/>
      </w:rPr>
    </w:lvl>
  </w:abstractNum>
  <w:abstractNum w:abstractNumId="1">
    <w:nsid w:val="08C816F0"/>
    <w:multiLevelType w:val="multilevel"/>
    <w:tmpl w:val="5890E3FE"/>
    <w:lvl w:ilvl="0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13A975DA"/>
    <w:multiLevelType w:val="multilevel"/>
    <w:tmpl w:val="0088A61A"/>
    <w:lvl w:ilvl="0">
      <w:start w:val="1"/>
      <w:numFmt w:val="bullet"/>
      <w:lvlText w:val="❏"/>
      <w:lvlJc w:val="left"/>
      <w:pPr>
        <w:ind w:left="990" w:firstLine="63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710" w:firstLine="135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30" w:firstLine="207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50" w:firstLine="279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70" w:firstLine="351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90" w:firstLine="423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310" w:firstLine="495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30" w:firstLine="567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50" w:firstLine="6390"/>
      </w:pPr>
      <w:rPr>
        <w:rFonts w:ascii="Arial" w:eastAsia="Arial" w:hAnsi="Arial" w:cs="Arial"/>
      </w:rPr>
    </w:lvl>
  </w:abstractNum>
  <w:abstractNum w:abstractNumId="3">
    <w:nsid w:val="16614CE8"/>
    <w:multiLevelType w:val="multilevel"/>
    <w:tmpl w:val="5C84D0AC"/>
    <w:lvl w:ilvl="0">
      <w:start w:val="1"/>
      <w:numFmt w:val="bullet"/>
      <w:lvlText w:val="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20" w:firstLine="6360"/>
      </w:pPr>
      <w:rPr>
        <w:rFonts w:ascii="Arial" w:eastAsia="Arial" w:hAnsi="Arial" w:cs="Arial"/>
      </w:rPr>
    </w:lvl>
  </w:abstractNum>
  <w:abstractNum w:abstractNumId="4">
    <w:nsid w:val="183A0E98"/>
    <w:multiLevelType w:val="multilevel"/>
    <w:tmpl w:val="408211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1A9B545E"/>
    <w:multiLevelType w:val="multilevel"/>
    <w:tmpl w:val="D2C2EEB0"/>
    <w:lvl w:ilvl="0">
      <w:start w:val="1"/>
      <w:numFmt w:val="bullet"/>
      <w:lvlText w:val="❏"/>
      <w:lvlJc w:val="left"/>
      <w:pPr>
        <w:ind w:left="1200" w:firstLine="84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920" w:firstLine="156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640" w:firstLine="228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360" w:firstLine="300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4080" w:firstLine="372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800" w:firstLine="444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520" w:firstLine="516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240" w:firstLine="588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960" w:firstLine="6600"/>
      </w:pPr>
      <w:rPr>
        <w:rFonts w:ascii="Arial" w:eastAsia="Arial" w:hAnsi="Arial" w:cs="Arial"/>
      </w:rPr>
    </w:lvl>
  </w:abstractNum>
  <w:abstractNum w:abstractNumId="6">
    <w:nsid w:val="34141BF9"/>
    <w:multiLevelType w:val="multilevel"/>
    <w:tmpl w:val="AF1EC87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BD74198"/>
    <w:multiLevelType w:val="multilevel"/>
    <w:tmpl w:val="449A2836"/>
    <w:lvl w:ilvl="0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>
    <w:nsid w:val="4C4A03B7"/>
    <w:multiLevelType w:val="hybridMultilevel"/>
    <w:tmpl w:val="79EA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40807"/>
    <w:multiLevelType w:val="hybridMultilevel"/>
    <w:tmpl w:val="3D0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E4238"/>
    <w:multiLevelType w:val="multilevel"/>
    <w:tmpl w:val="53A8B03C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>
    <w:nsid w:val="59D87530"/>
    <w:multiLevelType w:val="hybridMultilevel"/>
    <w:tmpl w:val="702E3512"/>
    <w:lvl w:ilvl="0" w:tplc="CD7E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91DA1"/>
    <w:multiLevelType w:val="multilevel"/>
    <w:tmpl w:val="E6ACEDD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65E572C"/>
    <w:multiLevelType w:val="multilevel"/>
    <w:tmpl w:val="ECA4F5D8"/>
    <w:lvl w:ilvl="0">
      <w:start w:val="1"/>
      <w:numFmt w:val="bullet"/>
      <w:lvlText w:val="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720" w:firstLine="6360"/>
      </w:pPr>
      <w:rPr>
        <w:rFonts w:ascii="Arial" w:eastAsia="Arial" w:hAnsi="Arial" w:cs="Arial"/>
      </w:rPr>
    </w:lvl>
  </w:abstractNum>
  <w:abstractNum w:abstractNumId="14">
    <w:nsid w:val="7B59461F"/>
    <w:multiLevelType w:val="hybridMultilevel"/>
    <w:tmpl w:val="AEE4FA62"/>
    <w:lvl w:ilvl="0" w:tplc="CD7E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05D6"/>
    <w:rsid w:val="000275AD"/>
    <w:rsid w:val="000305F3"/>
    <w:rsid w:val="000904F6"/>
    <w:rsid w:val="000C7C37"/>
    <w:rsid w:val="001020A3"/>
    <w:rsid w:val="00112387"/>
    <w:rsid w:val="00177EAB"/>
    <w:rsid w:val="00276E65"/>
    <w:rsid w:val="002F5F0C"/>
    <w:rsid w:val="00390650"/>
    <w:rsid w:val="0041021B"/>
    <w:rsid w:val="00444759"/>
    <w:rsid w:val="00495252"/>
    <w:rsid w:val="004C30A2"/>
    <w:rsid w:val="004F1116"/>
    <w:rsid w:val="005072D4"/>
    <w:rsid w:val="00532965"/>
    <w:rsid w:val="00571E25"/>
    <w:rsid w:val="005B7DB1"/>
    <w:rsid w:val="005D302C"/>
    <w:rsid w:val="005D3099"/>
    <w:rsid w:val="005D6A83"/>
    <w:rsid w:val="006217D2"/>
    <w:rsid w:val="006405D6"/>
    <w:rsid w:val="0066657C"/>
    <w:rsid w:val="006E5033"/>
    <w:rsid w:val="006F0226"/>
    <w:rsid w:val="0077325A"/>
    <w:rsid w:val="007A2D5E"/>
    <w:rsid w:val="007A3366"/>
    <w:rsid w:val="007B5283"/>
    <w:rsid w:val="00820B57"/>
    <w:rsid w:val="00874D02"/>
    <w:rsid w:val="00950AC4"/>
    <w:rsid w:val="00961652"/>
    <w:rsid w:val="009765B6"/>
    <w:rsid w:val="00981BB2"/>
    <w:rsid w:val="00A41444"/>
    <w:rsid w:val="00A94F77"/>
    <w:rsid w:val="00AA30B4"/>
    <w:rsid w:val="00BE6707"/>
    <w:rsid w:val="00C25A28"/>
    <w:rsid w:val="00C520CD"/>
    <w:rsid w:val="00DB356F"/>
    <w:rsid w:val="00DF6136"/>
    <w:rsid w:val="00EB259C"/>
    <w:rsid w:val="00F328B8"/>
    <w:rsid w:val="00F37152"/>
    <w:rsid w:val="00F41E41"/>
    <w:rsid w:val="00F86E37"/>
    <w:rsid w:val="00FB3A72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F5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kkitt" w:eastAsia="Rokkitt" w:hAnsi="Rokkitt" w:cs="Rokkitt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2"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Domine" w:eastAsia="Domine" w:hAnsi="Domine" w:cs="Domine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Domine" w:eastAsia="Domine" w:hAnsi="Domine" w:cs="Domine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40" w:after="60"/>
      <w:outlineLvl w:val="2"/>
    </w:pPr>
    <w:rPr>
      <w:rFonts w:ascii="Domine" w:eastAsia="Domine" w:hAnsi="Domine" w:cs="Domine"/>
      <w:b/>
      <w:sz w:val="26"/>
    </w:rPr>
  </w:style>
  <w:style w:type="paragraph" w:styleId="Heading4">
    <w:name w:val="heading 4"/>
    <w:basedOn w:val="Normal1"/>
    <w:next w:val="Normal1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240" w:after="60"/>
      <w:jc w:val="center"/>
    </w:pPr>
    <w:rPr>
      <w:rFonts w:ascii="Domine" w:eastAsia="Domine" w:hAnsi="Domine" w:cs="Domine"/>
      <w:b/>
      <w:sz w:val="32"/>
    </w:rPr>
  </w:style>
  <w:style w:type="paragraph" w:styleId="Subtitle">
    <w:name w:val="Subtitle"/>
    <w:basedOn w:val="Normal1"/>
    <w:next w:val="Normal1"/>
    <w:pPr>
      <w:keepNext/>
      <w:keepLines/>
      <w:spacing w:after="60"/>
      <w:jc w:val="center"/>
    </w:pPr>
    <w:rPr>
      <w:rFonts w:ascii="Domine" w:eastAsia="Domine" w:hAnsi="Domine" w:cs="Domine"/>
      <w:i/>
      <w:color w:val="66666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904F6"/>
  </w:style>
  <w:style w:type="paragraph" w:styleId="ListParagraph">
    <w:name w:val="List Paragraph"/>
    <w:basedOn w:val="Normal"/>
    <w:uiPriority w:val="34"/>
    <w:qFormat/>
    <w:rsid w:val="0011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kkitt" w:eastAsia="Rokkitt" w:hAnsi="Rokkitt" w:cs="Rokkitt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2"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Domine" w:eastAsia="Domine" w:hAnsi="Domine" w:cs="Domine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Domine" w:eastAsia="Domine" w:hAnsi="Domine" w:cs="Domine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40" w:after="60"/>
      <w:outlineLvl w:val="2"/>
    </w:pPr>
    <w:rPr>
      <w:rFonts w:ascii="Domine" w:eastAsia="Domine" w:hAnsi="Domine" w:cs="Domine"/>
      <w:b/>
      <w:sz w:val="26"/>
    </w:rPr>
  </w:style>
  <w:style w:type="paragraph" w:styleId="Heading4">
    <w:name w:val="heading 4"/>
    <w:basedOn w:val="Normal1"/>
    <w:next w:val="Normal1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240" w:after="60"/>
      <w:jc w:val="center"/>
    </w:pPr>
    <w:rPr>
      <w:rFonts w:ascii="Domine" w:eastAsia="Domine" w:hAnsi="Domine" w:cs="Domine"/>
      <w:b/>
      <w:sz w:val="32"/>
    </w:rPr>
  </w:style>
  <w:style w:type="paragraph" w:styleId="Subtitle">
    <w:name w:val="Subtitle"/>
    <w:basedOn w:val="Normal1"/>
    <w:next w:val="Normal1"/>
    <w:pPr>
      <w:keepNext/>
      <w:keepLines/>
      <w:spacing w:after="60"/>
      <w:jc w:val="center"/>
    </w:pPr>
    <w:rPr>
      <w:rFonts w:ascii="Domine" w:eastAsia="Domine" w:hAnsi="Domine" w:cs="Domine"/>
      <w:i/>
      <w:color w:val="66666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904F6"/>
  </w:style>
  <w:style w:type="paragraph" w:styleId="ListParagraph">
    <w:name w:val="List Paragraph"/>
    <w:basedOn w:val="Normal"/>
    <w:uiPriority w:val="34"/>
    <w:qFormat/>
    <w:rsid w:val="0011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Capuano</dc:creator>
  <cp:lastModifiedBy>Dominic Capuano</cp:lastModifiedBy>
  <cp:revision>3</cp:revision>
  <dcterms:created xsi:type="dcterms:W3CDTF">2015-05-27T16:53:00Z</dcterms:created>
  <dcterms:modified xsi:type="dcterms:W3CDTF">2015-05-27T16:54:00Z</dcterms:modified>
</cp:coreProperties>
</file>